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11" w:rsidRPr="00036D11" w:rsidRDefault="00036D11" w:rsidP="00EE4A05">
      <w:pPr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New York State </w:t>
      </w:r>
      <w:r w:rsidRPr="00036D11">
        <w:rPr>
          <w:rFonts w:cstheme="minorHAnsi"/>
          <w:b/>
          <w:bCs/>
        </w:rPr>
        <w:t xml:space="preserve">Mental Hygiene </w:t>
      </w:r>
      <w:r>
        <w:rPr>
          <w:rFonts w:cstheme="minorHAnsi"/>
          <w:b/>
          <w:bCs/>
        </w:rPr>
        <w:t>Law</w:t>
      </w:r>
    </w:p>
    <w:p w:rsidR="00036D11" w:rsidRDefault="00036D11" w:rsidP="00EE4A05">
      <w:pPr>
        <w:spacing w:after="120"/>
        <w:rPr>
          <w:rFonts w:cstheme="minorHAnsi"/>
        </w:rPr>
      </w:pPr>
      <w:r w:rsidRPr="00036D11">
        <w:rPr>
          <w:rFonts w:cstheme="minorHAnsi"/>
        </w:rPr>
        <w:t>§ 9.46 Reports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of substantial risk or threat of harm by mental health professionals.</w:t>
      </w:r>
      <w:r w:rsidRPr="00036D11">
        <w:rPr>
          <w:rFonts w:cstheme="minorHAnsi"/>
          <w:vertAlign w:val="superscript"/>
        </w:rPr>
        <w:t>1</w:t>
      </w:r>
    </w:p>
    <w:p w:rsidR="00036D11" w:rsidRPr="00036D11" w:rsidRDefault="00036D11" w:rsidP="00EE4A05">
      <w:pPr>
        <w:spacing w:after="120"/>
        <w:rPr>
          <w:rFonts w:cstheme="minorHAnsi"/>
        </w:rPr>
      </w:pPr>
      <w:r w:rsidRPr="00036D11">
        <w:rPr>
          <w:rFonts w:cstheme="minorHAnsi"/>
        </w:rPr>
        <w:t>(a)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purposes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this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section,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term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“mental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health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professional"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shall include a physician, psychologist, registered nurse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or licensed clinical social worker.</w:t>
      </w:r>
    </w:p>
    <w:p w:rsidR="00036D11" w:rsidRPr="00036D11" w:rsidRDefault="00036D11" w:rsidP="00EE4A05">
      <w:pPr>
        <w:spacing w:after="120"/>
        <w:rPr>
          <w:rFonts w:cstheme="minorHAnsi"/>
        </w:rPr>
      </w:pPr>
      <w:r w:rsidRPr="00036D11">
        <w:rPr>
          <w:rFonts w:cstheme="minorHAnsi"/>
        </w:rPr>
        <w:t>(b) Notwithstanding any other law to the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contrary,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when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mental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health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professional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currently providing treatment services to a person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determines, in the exercise of reasonable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professional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judgment,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that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such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person is likely to engage in conduct that would result in serious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harm to self or others</w:t>
      </w:r>
      <w:r w:rsidRPr="00036D11">
        <w:rPr>
          <w:rFonts w:cstheme="minorHAnsi"/>
          <w:vertAlign w:val="superscript"/>
        </w:rPr>
        <w:t>2</w:t>
      </w:r>
      <w:r w:rsidRPr="00036D11">
        <w:rPr>
          <w:rFonts w:cstheme="minorHAnsi"/>
        </w:rPr>
        <w:t>, he or she shall be required to report,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as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soon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as practicable, to the director of community services, or the director's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designee,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who shall report to the division of criminal justice services</w:t>
      </w:r>
      <w:r>
        <w:rPr>
          <w:rFonts w:cstheme="minorHAnsi"/>
        </w:rPr>
        <w:t xml:space="preserve"> w</w:t>
      </w:r>
      <w:r w:rsidRPr="00036D11">
        <w:rPr>
          <w:rFonts w:cstheme="minorHAnsi"/>
        </w:rPr>
        <w:t>henever he or she agrees that the person is likely to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engage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such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conduct.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Information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transmitted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the division of criminal justice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services shall be limited to names and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other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non-clinical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identifyin</w:t>
      </w:r>
      <w:r w:rsidR="00EE4A05">
        <w:rPr>
          <w:rFonts w:cstheme="minorHAnsi"/>
        </w:rPr>
        <w:t xml:space="preserve">g </w:t>
      </w:r>
      <w:r w:rsidRPr="00036D11">
        <w:rPr>
          <w:rFonts w:cstheme="minorHAnsi"/>
        </w:rPr>
        <w:t>information,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which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may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only be used for determining whether a license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issued pursuant to section 400.00 of the penal law should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be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suspended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or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revoked,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or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determining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whether a person is ineligible for a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license issued pursuant to section 400.00 of the penal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law,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or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is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no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longer permitted under state or federal law to possess a firearm.</w:t>
      </w:r>
    </w:p>
    <w:p w:rsidR="00036D11" w:rsidRPr="00036D11" w:rsidRDefault="00036D11" w:rsidP="00EE4A05">
      <w:pPr>
        <w:spacing w:after="120"/>
        <w:rPr>
          <w:rFonts w:cstheme="minorHAnsi"/>
        </w:rPr>
      </w:pPr>
      <w:r w:rsidRPr="00036D11">
        <w:rPr>
          <w:rFonts w:cstheme="minorHAnsi"/>
        </w:rPr>
        <w:t>(c)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Nothing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this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section shall be construed to require a mental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health professional to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take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any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action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which,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exercise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reasonable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professional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judgment,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would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endanger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such mental health</w:t>
      </w:r>
      <w:r w:rsidR="00EE4A05">
        <w:rPr>
          <w:rFonts w:cstheme="minorHAnsi"/>
        </w:rPr>
        <w:t xml:space="preserve"> </w:t>
      </w:r>
      <w:r w:rsidRPr="00036D11">
        <w:rPr>
          <w:rFonts w:cstheme="minorHAnsi"/>
        </w:rPr>
        <w:t>professional or increase the danger to a potential victim or victims.</w:t>
      </w:r>
    </w:p>
    <w:p w:rsidR="00036D11" w:rsidRPr="00036D11" w:rsidRDefault="00036D11" w:rsidP="00EE4A05">
      <w:pPr>
        <w:spacing w:after="120"/>
        <w:rPr>
          <w:rFonts w:cstheme="minorHAnsi"/>
        </w:rPr>
      </w:pPr>
      <w:r w:rsidRPr="00036D11">
        <w:rPr>
          <w:rFonts w:cstheme="minorHAnsi"/>
        </w:rPr>
        <w:t>(d) The decision of a mental health professional to disclose or not to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disclose in accordance with this section, when made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reasonably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good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faith,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shall not be the basis for any civil or criminal liability</w:t>
      </w:r>
      <w:r w:rsidR="00EE4A05">
        <w:rPr>
          <w:rFonts w:cstheme="minorHAnsi"/>
        </w:rPr>
        <w:t xml:space="preserve"> </w:t>
      </w:r>
      <w:r w:rsidRPr="00036D11">
        <w:rPr>
          <w:rFonts w:cstheme="minorHAnsi"/>
        </w:rPr>
        <w:t>of such mental health professional.</w:t>
      </w:r>
    </w:p>
    <w:p w:rsidR="00036D11" w:rsidRDefault="00036D11" w:rsidP="00EE4A05">
      <w:pPr>
        <w:spacing w:after="120"/>
        <w:rPr>
          <w:rFonts w:cstheme="minorHAnsi"/>
        </w:rPr>
      </w:pPr>
      <w:r w:rsidRPr="00036D11">
        <w:rPr>
          <w:rFonts w:cstheme="minorHAnsi"/>
          <w:b/>
        </w:rPr>
        <w:t>Notes</w:t>
      </w:r>
      <w:r>
        <w:rPr>
          <w:rFonts w:cstheme="minorHAnsi"/>
        </w:rPr>
        <w:t>:</w:t>
      </w:r>
    </w:p>
    <w:p w:rsidR="00036D11" w:rsidRDefault="00036D11" w:rsidP="00EE4A05">
      <w:pPr>
        <w:spacing w:after="120"/>
        <w:rPr>
          <w:rFonts w:cstheme="minorHAnsi"/>
        </w:rPr>
      </w:pPr>
      <w:r w:rsidRPr="00036D11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Effective March 16, 2013</w:t>
      </w:r>
    </w:p>
    <w:p w:rsidR="00036D11" w:rsidRDefault="00036D11" w:rsidP="00EE4A05">
      <w:pPr>
        <w:spacing w:after="120"/>
        <w:rPr>
          <w:rFonts w:cstheme="minorHAnsi"/>
        </w:rPr>
      </w:pPr>
      <w:r w:rsidRPr="00036D11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 xml:space="preserve">"likely to result in serious harm" </w:t>
      </w:r>
      <w:r>
        <w:rPr>
          <w:rFonts w:cstheme="minorHAnsi"/>
        </w:rPr>
        <w:t xml:space="preserve">is defined in </w:t>
      </w:r>
      <w:r w:rsidRPr="00036D11">
        <w:rPr>
          <w:rFonts w:cstheme="minorHAnsi"/>
        </w:rPr>
        <w:t>§</w:t>
      </w:r>
      <w:r>
        <w:rPr>
          <w:rFonts w:cstheme="minorHAnsi"/>
        </w:rPr>
        <w:t xml:space="preserve">9.01 of the </w:t>
      </w:r>
      <w:r w:rsidR="00EE4A05">
        <w:rPr>
          <w:rFonts w:cstheme="minorHAnsi"/>
        </w:rPr>
        <w:t>NYS Mental Hygiene L</w:t>
      </w:r>
      <w:r>
        <w:rPr>
          <w:rFonts w:cstheme="minorHAnsi"/>
        </w:rPr>
        <w:t>aw as:</w:t>
      </w:r>
    </w:p>
    <w:p w:rsidR="00036D11" w:rsidRDefault="00036D11" w:rsidP="00EE4A05">
      <w:pPr>
        <w:spacing w:after="0"/>
        <w:jc w:val="center"/>
        <w:rPr>
          <w:rFonts w:cstheme="minorHAnsi"/>
        </w:rPr>
      </w:pPr>
      <w:r w:rsidRPr="00036D11">
        <w:rPr>
          <w:rFonts w:cstheme="minorHAnsi"/>
        </w:rPr>
        <w:t>(a) a substantial risk of physical harm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person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as manifested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threats of or attempts at suicide or serious bodily harm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or other conduct demonstrating that the person is dangerous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himself or</w:t>
      </w:r>
      <w:r>
        <w:rPr>
          <w:rFonts w:cstheme="minorHAnsi"/>
        </w:rPr>
        <w:t xml:space="preserve"> </w:t>
      </w:r>
      <w:r w:rsidRPr="00036D11">
        <w:rPr>
          <w:rFonts w:cstheme="minorHAnsi"/>
        </w:rPr>
        <w:t>herself, or</w:t>
      </w:r>
    </w:p>
    <w:p w:rsidR="00036D11" w:rsidRPr="00036D11" w:rsidRDefault="00036D11" w:rsidP="00EE4A05">
      <w:pPr>
        <w:spacing w:after="120"/>
        <w:rPr>
          <w:rFonts w:cstheme="minorHAnsi"/>
        </w:rPr>
      </w:pPr>
      <w:r w:rsidRPr="00036D11">
        <w:rPr>
          <w:rFonts w:cstheme="minorHAnsi"/>
        </w:rPr>
        <w:t xml:space="preserve">(b) </w:t>
      </w:r>
      <w:proofErr w:type="gramStart"/>
      <w:r w:rsidRPr="00036D11">
        <w:rPr>
          <w:rFonts w:cstheme="minorHAnsi"/>
        </w:rPr>
        <w:t>a</w:t>
      </w:r>
      <w:proofErr w:type="gramEnd"/>
      <w:r w:rsidRPr="00036D11">
        <w:rPr>
          <w:rFonts w:cstheme="minorHAnsi"/>
        </w:rPr>
        <w:t xml:space="preserve"> substantial risk of physical harm to other persons as manifested by homicidal or other violent behavior by which others are placed in reasonable fear of serious physical harm.</w:t>
      </w:r>
    </w:p>
    <w:p w:rsidR="00036D11" w:rsidRPr="00036D11" w:rsidRDefault="00036D11" w:rsidP="00EE4A05">
      <w:pPr>
        <w:spacing w:after="120"/>
        <w:rPr>
          <w:rFonts w:cstheme="minorHAnsi"/>
        </w:rPr>
      </w:pPr>
    </w:p>
    <w:p w:rsidR="00A73457" w:rsidRPr="0089439B" w:rsidRDefault="00A73457" w:rsidP="00EE4A05">
      <w:pPr>
        <w:spacing w:after="120"/>
        <w:rPr>
          <w:rFonts w:cstheme="minorHAnsi"/>
        </w:rPr>
      </w:pPr>
    </w:p>
    <w:sectPr w:rsidR="00A73457" w:rsidRPr="0089439B" w:rsidSect="00A7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036D11"/>
    <w:rsid w:val="00036D11"/>
    <w:rsid w:val="000A0CAC"/>
    <w:rsid w:val="00615FCF"/>
    <w:rsid w:val="00874DB8"/>
    <w:rsid w:val="0089439B"/>
    <w:rsid w:val="00A73457"/>
    <w:rsid w:val="00B57BEA"/>
    <w:rsid w:val="00E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Long</dc:creator>
  <cp:lastModifiedBy>mhtbarr</cp:lastModifiedBy>
  <cp:revision>2</cp:revision>
  <dcterms:created xsi:type="dcterms:W3CDTF">2013-03-08T19:54:00Z</dcterms:created>
  <dcterms:modified xsi:type="dcterms:W3CDTF">2013-03-08T19:54:00Z</dcterms:modified>
</cp:coreProperties>
</file>